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b/>
          <w:bCs/>
          <w:color w:val="000091"/>
          <w:sz w:val="17"/>
          <w:szCs w:val="17"/>
        </w:rPr>
        <w:t xml:space="preserve">MODÈLE — GESTION DE CRISE</w:t>
      </w:r>
    </w:p>
    <w:p>
      <w:pPr>
        <w:pStyle w:val="Heading1"/>
        <w:spacing w:after="160" w:before="0"/>
      </w:pPr>
      <w:r>
        <w:rPr>
          <w:rFonts w:ascii="Georgia" w:cs="Georgia" w:eastAsia="Georgia" w:hAnsi="Georgia"/>
          <w:b/>
          <w:bCs/>
          <w:color w:val="000091"/>
          <w:sz w:val="40"/>
          <w:szCs w:val="40"/>
        </w:rPr>
        <w:t xml:space="preserve">Procédure de retrait-rappel</w:t>
      </w:r>
    </w:p>
    <w:p>
      <w:pPr>
        <w:spacing w:after="200" w:before="0"/>
      </w:pPr>
      <w:r>
        <w:rPr>
          <w:i/>
          <w:iCs/>
          <w:color w:val="666666"/>
        </w:rPr>
        <w:t xml:space="preserve">Modèle de procédure à adapter. Les parties entre crochets sont à compléter ; la procédure doit être testée au moins une fois par an par un exercice de simulation, et les contacts vérifiés à chaque exercice.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trPr>
        <w:tc>
          <w:tcPr>
            <w:tcW w:type="dxa" w:w="2600"/>
            <w:tcBorders>
              <w:top w:val="single" w:color="DDDDDD" w:sz="4"/>
              <w:left w:val="single" w:color="DDDDDD" w:sz="4"/>
              <w:bottom w:val="single" w:color="DDDDDD" w:sz="4"/>
              <w:right w:val="single" w:color="DDDDDD" w:sz="4"/>
            </w:tcBorders>
            <w:shd w:fill="F5F5FE" w:color="auto" w:val="clear"/>
            <w:tcMar>
              <w:top w:type="dxa" w:w="40"/>
              <w:left w:type="dxa" w:w="80"/>
              <w:bottom w:type="dxa" w:w="40"/>
              <w:right w:type="dxa" w:w="80"/>
            </w:tcMar>
            <w:vAlign w:val="top"/>
          </w:tcPr>
          <w:p>
            <w:pPr>
              <w:spacing w:after="40" w:before="40"/>
            </w:pPr>
            <w:r>
              <w:rPr>
                <w:rFonts w:ascii="Calibri" w:cs="Calibri" w:eastAsia="Calibri" w:hAnsi="Calibri"/>
                <w:b/>
                <w:bCs/>
                <w:sz w:val="19"/>
                <w:szCs w:val="19"/>
              </w:rPr>
              <w:t xml:space="preserve">Établissement</w:t>
            </w:r>
          </w:p>
        </w:tc>
        <w:tc>
          <w:tcPr>
            <w:tcW w:type="dxa" w:w="70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[raison sociale, adresse, n° d'agrément le cas échéant]</w:t>
            </w:r>
          </w:p>
        </w:tc>
      </w:tr>
      <w:tr>
        <w:trPr>
          <w:cantSplit/>
        </w:trPr>
        <w:tc>
          <w:tcPr>
            <w:tcW w:type="dxa" w:w="2600"/>
            <w:tcBorders>
              <w:top w:val="single" w:color="DDDDDD" w:sz="4"/>
              <w:left w:val="single" w:color="DDDDDD" w:sz="4"/>
              <w:bottom w:val="single" w:color="DDDDDD" w:sz="4"/>
              <w:right w:val="single" w:color="DDDDDD" w:sz="4"/>
            </w:tcBorders>
            <w:shd w:fill="F5F5FE" w:color="auto" w:val="clear"/>
            <w:tcMar>
              <w:top w:type="dxa" w:w="40"/>
              <w:left w:type="dxa" w:w="80"/>
              <w:bottom w:type="dxa" w:w="40"/>
              <w:right w:type="dxa" w:w="80"/>
            </w:tcMar>
            <w:vAlign w:val="top"/>
          </w:tcPr>
          <w:p>
            <w:pPr>
              <w:spacing w:after="40" w:before="40"/>
            </w:pPr>
            <w:r>
              <w:rPr>
                <w:rFonts w:ascii="Calibri" w:cs="Calibri" w:eastAsia="Calibri" w:hAnsi="Calibri"/>
                <w:b/>
                <w:bCs/>
                <w:sz w:val="19"/>
                <w:szCs w:val="19"/>
              </w:rPr>
              <w:t xml:space="preserve">Référence / version</w:t>
            </w:r>
          </w:p>
        </w:tc>
        <w:tc>
          <w:tcPr>
            <w:tcW w:type="dxa" w:w="70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PR-RAP-[n°] — version [n°] du [date]</w:t>
            </w:r>
          </w:p>
        </w:tc>
      </w:tr>
      <w:tr>
        <w:trPr>
          <w:cantSplit/>
        </w:trPr>
        <w:tc>
          <w:tcPr>
            <w:tcW w:type="dxa" w:w="2600"/>
            <w:tcBorders>
              <w:top w:val="single" w:color="DDDDDD" w:sz="4"/>
              <w:left w:val="single" w:color="DDDDDD" w:sz="4"/>
              <w:bottom w:val="single" w:color="DDDDDD" w:sz="4"/>
              <w:right w:val="single" w:color="DDDDDD" w:sz="4"/>
            </w:tcBorders>
            <w:shd w:fill="F5F5FE" w:color="auto" w:val="clear"/>
            <w:tcMar>
              <w:top w:type="dxa" w:w="40"/>
              <w:left w:type="dxa" w:w="80"/>
              <w:bottom w:type="dxa" w:w="40"/>
              <w:right w:type="dxa" w:w="80"/>
            </w:tcMar>
            <w:vAlign w:val="top"/>
          </w:tcPr>
          <w:p>
            <w:pPr>
              <w:spacing w:after="40" w:before="40"/>
            </w:pPr>
            <w:r>
              <w:rPr>
                <w:rFonts w:ascii="Calibri" w:cs="Calibri" w:eastAsia="Calibri" w:hAnsi="Calibri"/>
                <w:b/>
                <w:bCs/>
                <w:sz w:val="19"/>
                <w:szCs w:val="19"/>
              </w:rPr>
              <w:t xml:space="preserve">Rédigée par</w:t>
            </w:r>
          </w:p>
        </w:tc>
        <w:tc>
          <w:tcPr>
            <w:tcW w:type="dxa" w:w="70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r>
      <w:tr>
        <w:trPr>
          <w:cantSplit/>
        </w:trPr>
        <w:tc>
          <w:tcPr>
            <w:tcW w:type="dxa" w:w="2600"/>
            <w:tcBorders>
              <w:top w:val="single" w:color="DDDDDD" w:sz="4"/>
              <w:left w:val="single" w:color="DDDDDD" w:sz="4"/>
              <w:bottom w:val="single" w:color="DDDDDD" w:sz="4"/>
              <w:right w:val="single" w:color="DDDDDD" w:sz="4"/>
            </w:tcBorders>
            <w:shd w:fill="F5F5FE" w:color="auto" w:val="clear"/>
            <w:tcMar>
              <w:top w:type="dxa" w:w="40"/>
              <w:left w:type="dxa" w:w="80"/>
              <w:bottom w:type="dxa" w:w="40"/>
              <w:right w:type="dxa" w:w="80"/>
            </w:tcMar>
            <w:vAlign w:val="top"/>
          </w:tcPr>
          <w:p>
            <w:pPr>
              <w:spacing w:after="40" w:before="40"/>
            </w:pPr>
            <w:r>
              <w:rPr>
                <w:rFonts w:ascii="Calibri" w:cs="Calibri" w:eastAsia="Calibri" w:hAnsi="Calibri"/>
                <w:b/>
                <w:bCs/>
                <w:sz w:val="19"/>
                <w:szCs w:val="19"/>
              </w:rPr>
              <w:t xml:space="preserve">Approuvée par</w:t>
            </w:r>
          </w:p>
        </w:tc>
        <w:tc>
          <w:tcPr>
            <w:tcW w:type="dxa" w:w="70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[direction]</w:t>
            </w:r>
          </w:p>
        </w:tc>
      </w:tr>
      <w:tr>
        <w:trPr>
          <w:cantSplit/>
        </w:trPr>
        <w:tc>
          <w:tcPr>
            <w:tcW w:type="dxa" w:w="2600"/>
            <w:tcBorders>
              <w:top w:val="single" w:color="DDDDDD" w:sz="4"/>
              <w:left w:val="single" w:color="DDDDDD" w:sz="4"/>
              <w:bottom w:val="single" w:color="DDDDDD" w:sz="4"/>
              <w:right w:val="single" w:color="DDDDDD" w:sz="4"/>
            </w:tcBorders>
            <w:shd w:fill="F5F5FE" w:color="auto" w:val="clear"/>
            <w:tcMar>
              <w:top w:type="dxa" w:w="40"/>
              <w:left w:type="dxa" w:w="80"/>
              <w:bottom w:type="dxa" w:w="40"/>
              <w:right w:type="dxa" w:w="80"/>
            </w:tcMar>
            <w:vAlign w:val="top"/>
          </w:tcPr>
          <w:p>
            <w:pPr>
              <w:spacing w:after="40" w:before="40"/>
            </w:pPr>
            <w:r>
              <w:rPr>
                <w:rFonts w:ascii="Calibri" w:cs="Calibri" w:eastAsia="Calibri" w:hAnsi="Calibri"/>
                <w:b/>
                <w:bCs/>
                <w:sz w:val="19"/>
                <w:szCs w:val="19"/>
              </w:rPr>
              <w:t xml:space="preserve">Dernier exercice de simulation</w:t>
            </w:r>
          </w:p>
        </w:tc>
        <w:tc>
          <w:tcPr>
            <w:tcW w:type="dxa" w:w="70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[date] — rapport n° [ ]</w:t>
            </w:r>
          </w:p>
        </w:tc>
      </w:tr>
    </w:tbl>
    <w:p>
      <w:pPr>
        <w:pStyle w:val="Heading2"/>
        <w:pBdr>
          <w:bottom w:val="single" w:color="1E1E1E" w:sz="6" w:space="4"/>
        </w:pBdr>
        <w:spacing w:after="120" w:before="320"/>
      </w:pPr>
      <w:r>
        <w:rPr>
          <w:rFonts w:ascii="Georgia" w:cs="Georgia" w:eastAsia="Georgia" w:hAnsi="Georgia"/>
          <w:b/>
          <w:bCs/>
          <w:color w:val="1E1E1E"/>
          <w:sz w:val="28"/>
          <w:szCs w:val="28"/>
        </w:rPr>
        <w:t xml:space="preserve">1. Objet et champ d'application</w:t>
      </w:r>
    </w:p>
    <w:p>
      <w:pPr>
        <w:spacing w:after="100" w:before="0"/>
      </w:pPr>
      <w:r>
        <w:t xml:space="preserve">Cette procédure définit l'organisation, les responsabilités et les étapes à suivre lorsqu'un produit mis sur le marché par [établissement] est susceptible de ne pas répondre aux prescriptions de sécurité des denrées alimentaires, ou de présenter une non-conformité justifiant son retrait du marché ou son rappel auprès des consommateurs. Elle s'applique à tous les produits fabriqués, conditionnés ou distribués par l'établissement, y compris ceux réalisés en sous-traitance et les marques de distributeur.</w:t>
      </w:r>
    </w:p>
    <w:p>
      <w:pPr>
        <w:pStyle w:val="Heading2"/>
        <w:pBdr>
          <w:bottom w:val="single" w:color="1E1E1E" w:sz="6" w:space="4"/>
        </w:pBdr>
        <w:spacing w:after="120" w:before="320"/>
      </w:pPr>
      <w:r>
        <w:rPr>
          <w:rFonts w:ascii="Georgia" w:cs="Georgia" w:eastAsia="Georgia" w:hAnsi="Georgia"/>
          <w:b/>
          <w:bCs/>
          <w:color w:val="1E1E1E"/>
          <w:sz w:val="28"/>
          <w:szCs w:val="28"/>
        </w:rPr>
        <w:t xml:space="preserve">2. Références</w:t>
      </w:r>
    </w:p>
    <w:p>
      <w:pPr>
        <w:pStyle w:val="ListParagraph"/>
        <w:numPr>
          <w:ilvl w:val="0"/>
          <w:numId w:val="2"/>
        </w:numPr>
        <w:spacing w:after="60"/>
      </w:pPr>
      <w:r>
        <w:rPr>
          <w:rFonts w:ascii="Calibri" w:cs="Calibri" w:eastAsia="Calibri" w:hAnsi="Calibri"/>
          <w:color w:val="1E1E1E"/>
          <w:sz w:val="20"/>
          <w:szCs w:val="20"/>
        </w:rPr>
        <w:t xml:space="preserve">Règlement (CE) n° 178/2002, art. 14 (denrée dangereuse), 18 (traçabilité), 19 (retrait, rappel, information des autorités)</w:t>
      </w:r>
    </w:p>
    <w:p>
      <w:pPr>
        <w:pStyle w:val="ListParagraph"/>
        <w:numPr>
          <w:ilvl w:val="0"/>
          <w:numId w:val="2"/>
        </w:numPr>
        <w:spacing w:after="60"/>
      </w:pPr>
      <w:r>
        <w:rPr>
          <w:rFonts w:ascii="Calibri" w:cs="Calibri" w:eastAsia="Calibri" w:hAnsi="Calibri"/>
          <w:color w:val="1E1E1E"/>
          <w:sz w:val="20"/>
          <w:szCs w:val="20"/>
        </w:rPr>
        <w:t xml:space="preserve">Code de la consommation, art. L. 423-3 (information de l'administration et déclaration des rappels)</w:t>
      </w:r>
    </w:p>
    <w:p>
      <w:pPr>
        <w:pStyle w:val="ListParagraph"/>
        <w:numPr>
          <w:ilvl w:val="0"/>
          <w:numId w:val="2"/>
        </w:numPr>
        <w:spacing w:after="60"/>
      </w:pPr>
      <w:r>
        <w:rPr>
          <w:rFonts w:ascii="Calibri" w:cs="Calibri" w:eastAsia="Calibri" w:hAnsi="Calibri"/>
          <w:color w:val="1E1E1E"/>
          <w:sz w:val="20"/>
          <w:szCs w:val="20"/>
        </w:rPr>
        <w:t xml:space="preserve">Plan de Maîtrise Sanitaire de l'établissement — procédure de traçabilité, procédure de gestion des non-conformités</w:t>
      </w:r>
    </w:p>
    <w:p>
      <w:pPr>
        <w:pStyle w:val="ListParagraph"/>
        <w:numPr>
          <w:ilvl w:val="0"/>
          <w:numId w:val="2"/>
        </w:numPr>
        <w:spacing w:after="60"/>
      </w:pPr>
      <w:r>
        <w:rPr>
          <w:rFonts w:ascii="Calibri" w:cs="Calibri" w:eastAsia="Calibri" w:hAnsi="Calibri"/>
          <w:color w:val="1E1E1E"/>
          <w:sz w:val="20"/>
          <w:szCs w:val="20"/>
        </w:rPr>
        <w:t xml:space="preserve">[Référentiel de certification applicable et cahiers des charges clients]</w:t>
      </w:r>
    </w:p>
    <w:p>
      <w:pPr>
        <w:pStyle w:val="Heading2"/>
        <w:pBdr>
          <w:bottom w:val="single" w:color="1E1E1E" w:sz="6" w:space="4"/>
        </w:pBdr>
        <w:spacing w:after="120" w:before="320"/>
      </w:pPr>
      <w:r>
        <w:rPr>
          <w:rFonts w:ascii="Georgia" w:cs="Georgia" w:eastAsia="Georgia" w:hAnsi="Georgia"/>
          <w:b/>
          <w:bCs/>
          <w:color w:val="1E1E1E"/>
          <w:sz w:val="28"/>
          <w:szCs w:val="28"/>
        </w:rPr>
        <w:t xml:space="preserve">3. Définitions</w:t>
      </w:r>
    </w:p>
    <w:p>
      <w:pPr>
        <w:pStyle w:val="ListParagraph"/>
        <w:numPr>
          <w:ilvl w:val="0"/>
          <w:numId w:val="2"/>
        </w:numPr>
        <w:spacing w:after="60"/>
      </w:pPr>
      <w:r>
        <w:rPr>
          <w:rFonts w:ascii="Calibri" w:cs="Calibri" w:eastAsia="Calibri" w:hAnsi="Calibri"/>
          <w:color w:val="1E1E1E"/>
          <w:sz w:val="20"/>
          <w:szCs w:val="20"/>
        </w:rPr>
        <w:t xml:space="preserve">Retrait : mesure visant à empêcher la distribution, l'exposition et l'offre d'un produit encore dans le circuit commercial.</w:t>
      </w:r>
    </w:p>
    <w:p>
      <w:pPr>
        <w:pStyle w:val="ListParagraph"/>
        <w:numPr>
          <w:ilvl w:val="0"/>
          <w:numId w:val="2"/>
        </w:numPr>
        <w:spacing w:after="60"/>
      </w:pPr>
      <w:r>
        <w:rPr>
          <w:rFonts w:ascii="Calibri" w:cs="Calibri" w:eastAsia="Calibri" w:hAnsi="Calibri"/>
          <w:color w:val="1E1E1E"/>
          <w:sz w:val="20"/>
          <w:szCs w:val="20"/>
        </w:rPr>
        <w:t xml:space="preserve">Rappel : mesure visant à obtenir le retour d'un produit dangereux déjà fourni ou mis à disposition du consommateur, avec information publique.</w:t>
      </w:r>
    </w:p>
    <w:p>
      <w:pPr>
        <w:pStyle w:val="ListParagraph"/>
        <w:numPr>
          <w:ilvl w:val="0"/>
          <w:numId w:val="2"/>
        </w:numPr>
        <w:spacing w:after="60"/>
      </w:pPr>
      <w:r>
        <w:rPr>
          <w:rFonts w:ascii="Calibri" w:cs="Calibri" w:eastAsia="Calibri" w:hAnsi="Calibri"/>
          <w:color w:val="1E1E1E"/>
          <w:sz w:val="20"/>
          <w:szCs w:val="20"/>
        </w:rPr>
        <w:t xml:space="preserve">Cellule de crise : groupe restreint chargé de décider et de coordonner les actions (voir § 5).</w:t>
      </w:r>
    </w:p>
    <w:p>
      <w:pPr>
        <w:pStyle w:val="Heading2"/>
        <w:pBdr>
          <w:bottom w:val="single" w:color="1E1E1E" w:sz="6" w:space="4"/>
        </w:pBdr>
        <w:spacing w:after="120" w:before="320"/>
      </w:pPr>
      <w:r>
        <w:rPr>
          <w:rFonts w:ascii="Georgia" w:cs="Georgia" w:eastAsia="Georgia" w:hAnsi="Georgia"/>
          <w:b/>
          <w:bCs/>
          <w:color w:val="1E1E1E"/>
          <w:sz w:val="28"/>
          <w:szCs w:val="28"/>
        </w:rPr>
        <w:t xml:space="preserve">4. Événements déclencheurs</w:t>
      </w:r>
    </w:p>
    <w:p>
      <w:pPr>
        <w:pStyle w:val="ListParagraph"/>
        <w:numPr>
          <w:ilvl w:val="0"/>
          <w:numId w:val="2"/>
        </w:numPr>
        <w:spacing w:after="60"/>
      </w:pPr>
      <w:r>
        <w:rPr>
          <w:rFonts w:ascii="Calibri" w:cs="Calibri" w:eastAsia="Calibri" w:hAnsi="Calibri"/>
          <w:color w:val="1E1E1E"/>
          <w:sz w:val="20"/>
          <w:szCs w:val="20"/>
        </w:rPr>
        <w:t xml:space="preserve">Résultat d'analyse non conforme à un critère de sécurité (Listeria monocytogenes, Salmonella, toxines, contaminant au-delà de la teneur maximale…) sur un lot expédié</w:t>
      </w:r>
    </w:p>
    <w:p>
      <w:pPr>
        <w:pStyle w:val="ListParagraph"/>
        <w:numPr>
          <w:ilvl w:val="0"/>
          <w:numId w:val="2"/>
        </w:numPr>
        <w:spacing w:after="60"/>
      </w:pPr>
      <w:r>
        <w:rPr>
          <w:rFonts w:ascii="Calibri" w:cs="Calibri" w:eastAsia="Calibri" w:hAnsi="Calibri"/>
          <w:color w:val="1E1E1E"/>
          <w:sz w:val="20"/>
          <w:szCs w:val="20"/>
        </w:rPr>
        <w:t xml:space="preserve">Réclamation client ou consommateur faisant état d'un danger (corps étranger, allergène non déclaré, intoxication)</w:t>
      </w:r>
    </w:p>
    <w:p>
      <w:pPr>
        <w:pStyle w:val="ListParagraph"/>
        <w:numPr>
          <w:ilvl w:val="0"/>
          <w:numId w:val="2"/>
        </w:numPr>
        <w:spacing w:after="60"/>
      </w:pPr>
      <w:r>
        <w:rPr>
          <w:rFonts w:ascii="Calibri" w:cs="Calibri" w:eastAsia="Calibri" w:hAnsi="Calibri"/>
          <w:color w:val="1E1E1E"/>
          <w:sz w:val="20"/>
          <w:szCs w:val="20"/>
        </w:rPr>
        <w:t xml:space="preserve">Alerte d'un fournisseur sur une matière première ou un emballage déjà mis en œuvre</w:t>
      </w:r>
    </w:p>
    <w:p>
      <w:pPr>
        <w:pStyle w:val="ListParagraph"/>
        <w:numPr>
          <w:ilvl w:val="0"/>
          <w:numId w:val="2"/>
        </w:numPr>
        <w:spacing w:after="60"/>
      </w:pPr>
      <w:r>
        <w:rPr>
          <w:rFonts w:ascii="Calibri" w:cs="Calibri" w:eastAsia="Calibri" w:hAnsi="Calibri"/>
          <w:color w:val="1E1E1E"/>
          <w:sz w:val="20"/>
          <w:szCs w:val="20"/>
        </w:rPr>
        <w:t xml:space="preserve">Erreur d'étiquetage affectant la sécurité (allergène manquant, DLC erronée) constatée après expédition</w:t>
      </w:r>
    </w:p>
    <w:p>
      <w:pPr>
        <w:pStyle w:val="ListParagraph"/>
        <w:numPr>
          <w:ilvl w:val="0"/>
          <w:numId w:val="2"/>
        </w:numPr>
        <w:spacing w:after="60"/>
      </w:pPr>
      <w:r>
        <w:rPr>
          <w:rFonts w:ascii="Calibri" w:cs="Calibri" w:eastAsia="Calibri" w:hAnsi="Calibri"/>
          <w:color w:val="1E1E1E"/>
          <w:sz w:val="20"/>
          <w:szCs w:val="20"/>
        </w:rPr>
        <w:t xml:space="preserve">Notification d'une autorité (DDPP, DGCCRF, RASFF) ou d'un client</w:t>
      </w:r>
    </w:p>
    <w:p>
      <w:pPr>
        <w:pStyle w:val="ListParagraph"/>
        <w:numPr>
          <w:ilvl w:val="0"/>
          <w:numId w:val="2"/>
        </w:numPr>
        <w:spacing w:after="60"/>
      </w:pPr>
      <w:r>
        <w:rPr>
          <w:rFonts w:ascii="Calibri" w:cs="Calibri" w:eastAsia="Calibri" w:hAnsi="Calibri"/>
          <w:color w:val="1E1E1E"/>
          <w:sz w:val="20"/>
          <w:szCs w:val="20"/>
        </w:rPr>
        <w:t xml:space="preserve">Défaillance d'un CCP détectée après libération des produits</w:t>
      </w:r>
    </w:p>
    <w:p>
      <w:pPr>
        <w:pStyle w:val="Heading2"/>
        <w:pBdr>
          <w:bottom w:val="single" w:color="1E1E1E" w:sz="6" w:space="4"/>
        </w:pBdr>
        <w:spacing w:after="120" w:before="320"/>
      </w:pPr>
      <w:r>
        <w:rPr>
          <w:rFonts w:ascii="Georgia" w:cs="Georgia" w:eastAsia="Georgia" w:hAnsi="Georgia"/>
          <w:b/>
          <w:bCs/>
          <w:color w:val="1E1E1E"/>
          <w:sz w:val="28"/>
          <w:szCs w:val="28"/>
        </w:rPr>
        <w:t xml:space="preserve">5. Cellule de crise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2600"/>
        <w:gridCol w:w="2100"/>
        <w:gridCol w:w="2138"/>
      </w:tblGrid>
      <w:tr>
        <w:trPr>
          <w:cantSplit/>
          <w:tblHeader/>
        </w:trPr>
        <w:tc>
          <w:tcPr>
            <w:tcW w:type="dxa" w:w="2800"/>
            <w:tcBorders>
              <w:top w:val="single" w:color="DDDDDD" w:sz="4"/>
              <w:left w:val="single" w:color="DDDDDD" w:sz="4"/>
              <w:bottom w:val="single" w:color="DDDDDD" w:sz="4"/>
              <w:right w:val="single" w:color="DDDDDD" w:sz="4"/>
            </w:tcBorders>
            <w:shd w:fill="F5F5FE" w:color="auto" w:val="clear"/>
            <w:tcMar>
              <w:top w:type="dxa" w:w="40"/>
              <w:left w:type="dxa" w:w="80"/>
              <w:bottom w:type="dxa" w:w="40"/>
              <w:right w:type="dxa" w:w="80"/>
            </w:tcMar>
            <w:vAlign w:val="top"/>
          </w:tcPr>
          <w:p>
            <w:pPr>
              <w:spacing w:after="40" w:before="40"/>
            </w:pPr>
            <w:r>
              <w:rPr>
                <w:rFonts w:ascii="Calibri" w:cs="Calibri" w:eastAsia="Calibri" w:hAnsi="Calibri"/>
                <w:b/>
                <w:bCs/>
                <w:sz w:val="18"/>
                <w:szCs w:val="18"/>
              </w:rPr>
              <w:t xml:space="preserve">Rôle</w:t>
            </w:r>
          </w:p>
        </w:tc>
        <w:tc>
          <w:tcPr>
            <w:tcW w:type="dxa" w:w="2600"/>
            <w:tcBorders>
              <w:top w:val="single" w:color="DDDDDD" w:sz="4"/>
              <w:left w:val="single" w:color="DDDDDD" w:sz="4"/>
              <w:bottom w:val="single" w:color="DDDDDD" w:sz="4"/>
              <w:right w:val="single" w:color="DDDDDD" w:sz="4"/>
            </w:tcBorders>
            <w:shd w:fill="F5F5FE" w:color="auto" w:val="clear"/>
            <w:tcMar>
              <w:top w:type="dxa" w:w="40"/>
              <w:left w:type="dxa" w:w="80"/>
              <w:bottom w:type="dxa" w:w="40"/>
              <w:right w:type="dxa" w:w="80"/>
            </w:tcMar>
            <w:vAlign w:val="top"/>
          </w:tcPr>
          <w:p>
            <w:pPr>
              <w:spacing w:after="40" w:before="40"/>
            </w:pPr>
            <w:r>
              <w:rPr>
                <w:rFonts w:ascii="Calibri" w:cs="Calibri" w:eastAsia="Calibri" w:hAnsi="Calibri"/>
                <w:b/>
                <w:bCs/>
                <w:sz w:val="18"/>
                <w:szCs w:val="18"/>
              </w:rPr>
              <w:t xml:space="preserve">Titulaire</w:t>
            </w:r>
          </w:p>
        </w:tc>
        <w:tc>
          <w:tcPr>
            <w:tcW w:type="dxa" w:w="2100"/>
            <w:tcBorders>
              <w:top w:val="single" w:color="DDDDDD" w:sz="4"/>
              <w:left w:val="single" w:color="DDDDDD" w:sz="4"/>
              <w:bottom w:val="single" w:color="DDDDDD" w:sz="4"/>
              <w:right w:val="single" w:color="DDDDDD" w:sz="4"/>
            </w:tcBorders>
            <w:shd w:fill="F5F5FE" w:color="auto" w:val="clear"/>
            <w:tcMar>
              <w:top w:type="dxa" w:w="40"/>
              <w:left w:type="dxa" w:w="80"/>
              <w:bottom w:type="dxa" w:w="40"/>
              <w:right w:type="dxa" w:w="80"/>
            </w:tcMar>
            <w:vAlign w:val="top"/>
          </w:tcPr>
          <w:p>
            <w:pPr>
              <w:spacing w:after="40" w:before="40"/>
            </w:pPr>
            <w:r>
              <w:rPr>
                <w:rFonts w:ascii="Calibri" w:cs="Calibri" w:eastAsia="Calibri" w:hAnsi="Calibri"/>
                <w:b/>
                <w:bCs/>
                <w:sz w:val="18"/>
                <w:szCs w:val="18"/>
              </w:rPr>
              <w:t xml:space="preserve">Suppléant</w:t>
            </w:r>
          </w:p>
        </w:tc>
        <w:tc>
          <w:tcPr>
            <w:tcW w:type="dxa" w:w="2138"/>
            <w:tcBorders>
              <w:top w:val="single" w:color="DDDDDD" w:sz="4"/>
              <w:left w:val="single" w:color="DDDDDD" w:sz="4"/>
              <w:bottom w:val="single" w:color="DDDDDD" w:sz="4"/>
              <w:right w:val="single" w:color="DDDDDD" w:sz="4"/>
            </w:tcBorders>
            <w:shd w:fill="F5F5FE" w:color="auto" w:val="clear"/>
            <w:tcMar>
              <w:top w:type="dxa" w:w="40"/>
              <w:left w:type="dxa" w:w="80"/>
              <w:bottom w:type="dxa" w:w="40"/>
              <w:right w:type="dxa" w:w="80"/>
            </w:tcMar>
            <w:vAlign w:val="top"/>
          </w:tcPr>
          <w:p>
            <w:pPr>
              <w:spacing w:after="40" w:before="40"/>
            </w:pPr>
            <w:r>
              <w:rPr>
                <w:rFonts w:ascii="Calibri" w:cs="Calibri" w:eastAsia="Calibri" w:hAnsi="Calibri"/>
                <w:b/>
                <w:bCs/>
                <w:sz w:val="18"/>
                <w:szCs w:val="18"/>
              </w:rPr>
              <w:t xml:space="preserve">Téléphone (24 h/24)</w:t>
            </w:r>
          </w:p>
        </w:tc>
      </w:tr>
      <w:tr>
        <w:trPr>
          <w:cantSplit/>
          <w:tblHeader w:val="false"/>
        </w:trPr>
        <w:tc>
          <w:tcPr>
            <w:tcW w:type="dxa" w:w="28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Responsable de la cellule (décision)</w:t>
            </w:r>
          </w:p>
        </w:tc>
        <w:tc>
          <w:tcPr>
            <w:tcW w:type="dxa" w:w="26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[direction]</w:t>
            </w:r>
          </w:p>
        </w:tc>
        <w:tc>
          <w:tcPr>
            <w:tcW w:type="dxa" w:w="21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21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r>
      <w:tr>
        <w:trPr>
          <w:cantSplit/>
          <w:tblHeader w:val="false"/>
        </w:trPr>
        <w:tc>
          <w:tcPr>
            <w:tcW w:type="dxa" w:w="28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Responsable qualité (évaluation, traçabilité, autorités)</w:t>
            </w:r>
          </w:p>
        </w:tc>
        <w:tc>
          <w:tcPr>
            <w:tcW w:type="dxa" w:w="26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21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21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r>
      <w:tr>
        <w:trPr>
          <w:cantSplit/>
          <w:tblHeader w:val="false"/>
        </w:trPr>
        <w:tc>
          <w:tcPr>
            <w:tcW w:type="dxa" w:w="28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Responsable logistique / commercial (clients, blocage, retours)</w:t>
            </w:r>
          </w:p>
        </w:tc>
        <w:tc>
          <w:tcPr>
            <w:tcW w:type="dxa" w:w="26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21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21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r>
      <w:tr>
        <w:trPr>
          <w:cantSplit/>
          <w:tblHeader w:val="false"/>
        </w:trPr>
        <w:tc>
          <w:tcPr>
            <w:tcW w:type="dxa" w:w="28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Communication (consommateurs, médias)</w:t>
            </w:r>
          </w:p>
        </w:tc>
        <w:tc>
          <w:tcPr>
            <w:tcW w:type="dxa" w:w="26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21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21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r>
      <w:tr>
        <w:trPr>
          <w:cantSplit/>
          <w:tblHeader w:val="false"/>
        </w:trPr>
        <w:tc>
          <w:tcPr>
            <w:tcW w:type="dxa" w:w="28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Production (arrêt, blocage, retraitement)</w:t>
            </w:r>
          </w:p>
        </w:tc>
        <w:tc>
          <w:tcPr>
            <w:tcW w:type="dxa" w:w="26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21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21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r>
    </w:tbl>
    <w:p>
      <w:pPr>
        <w:pStyle w:val="Heading2"/>
        <w:pBdr>
          <w:bottom w:val="single" w:color="1E1E1E" w:sz="6" w:space="4"/>
        </w:pBdr>
        <w:spacing w:after="120" w:before="320"/>
      </w:pPr>
      <w:r>
        <w:rPr>
          <w:rFonts w:ascii="Georgia" w:cs="Georgia" w:eastAsia="Georgia" w:hAnsi="Georgia"/>
          <w:b/>
          <w:bCs/>
          <w:color w:val="1E1E1E"/>
          <w:sz w:val="28"/>
          <w:szCs w:val="28"/>
        </w:rPr>
        <w:t xml:space="preserve">6. Déroulement</w:t>
      </w:r>
    </w:p>
    <w:p>
      <w:pPr>
        <w:pStyle w:val="Heading3"/>
        <w:spacing w:after="80" w:before="200"/>
      </w:pPr>
      <w:r>
        <w:rPr>
          <w:rFonts w:ascii="Calibri" w:cs="Calibri" w:eastAsia="Calibri" w:hAnsi="Calibri"/>
          <w:b/>
          <w:bCs/>
          <w:color w:val="000091"/>
          <w:sz w:val="22"/>
          <w:szCs w:val="22"/>
        </w:rPr>
        <w:t xml:space="preserve">Étape 1 — Alerte et qualification (objectif : sous 2 heures)</w:t>
      </w:r>
    </w:p>
    <w:p>
      <w:pPr>
        <w:pStyle w:val="ListParagraph"/>
        <w:numPr>
          <w:ilvl w:val="0"/>
          <w:numId w:val="3"/>
        </w:numPr>
        <w:spacing w:after="60"/>
      </w:pPr>
      <w:r>
        <w:rPr>
          <w:rFonts w:ascii="Calibri" w:cs="Calibri" w:eastAsia="Calibri" w:hAnsi="Calibri"/>
          <w:color w:val="1E1E1E"/>
          <w:sz w:val="20"/>
          <w:szCs w:val="20"/>
        </w:rPr>
        <w:t xml:space="preserve">Toute personne qui a connaissance d'un événement déclencheur informe immédiatement le responsable qualité ou son suppléant.</w:t>
      </w:r>
    </w:p>
    <w:p>
      <w:pPr>
        <w:pStyle w:val="ListParagraph"/>
        <w:numPr>
          <w:ilvl w:val="0"/>
          <w:numId w:val="3"/>
        </w:numPr>
        <w:spacing w:after="60"/>
      </w:pPr>
      <w:r>
        <w:rPr>
          <w:rFonts w:ascii="Calibri" w:cs="Calibri" w:eastAsia="Calibri" w:hAnsi="Calibri"/>
          <w:color w:val="1E1E1E"/>
          <w:sz w:val="20"/>
          <w:szCs w:val="20"/>
        </w:rPr>
        <w:t xml:space="preserve">Le responsable qualité ouvre une fiche de non-conformité et réunit la cellule de crise.</w:t>
      </w:r>
    </w:p>
    <w:p>
      <w:pPr>
        <w:pStyle w:val="ListParagraph"/>
        <w:numPr>
          <w:ilvl w:val="0"/>
          <w:numId w:val="3"/>
        </w:numPr>
        <w:spacing w:after="60"/>
      </w:pPr>
      <w:r>
        <w:rPr>
          <w:rFonts w:ascii="Calibri" w:cs="Calibri" w:eastAsia="Calibri" w:hAnsi="Calibri"/>
          <w:color w:val="1E1E1E"/>
          <w:sz w:val="20"/>
          <w:szCs w:val="20"/>
        </w:rPr>
        <w:t xml:space="preserve">La cellule qualifie l'événement : le produit est-il dangereux au sens de l'art. 14 (préjudiciable à la santé ou impropre à la consommation) ? Le produit est-il encore sous le contrôle direct de l'établissement ?</w:t>
      </w:r>
    </w:p>
    <w:p>
      <w:pPr>
        <w:pStyle w:val="ListParagraph"/>
        <w:numPr>
          <w:ilvl w:val="0"/>
          <w:numId w:val="3"/>
        </w:numPr>
        <w:spacing w:after="60"/>
      </w:pPr>
      <w:r>
        <w:rPr>
          <w:rFonts w:ascii="Calibri" w:cs="Calibri" w:eastAsia="Calibri" w:hAnsi="Calibri"/>
          <w:color w:val="1E1E1E"/>
          <w:sz w:val="20"/>
          <w:szCs w:val="20"/>
        </w:rPr>
        <w:t xml:space="preserve">Décision enregistrée : ☐ blocage interne seul   ☐ retrait   ☐ rappel   ☐ information des autorités. En cas de doute raisonnable sur la sécurité d'un produit expédié, le retrait et l'information des autorités sont engagés sans attendre de confirmation analytique.</w:t>
      </w:r>
    </w:p>
    <w:p>
      <w:pPr>
        <w:pStyle w:val="Heading3"/>
        <w:spacing w:after="80" w:before="200"/>
      </w:pPr>
      <w:r>
        <w:rPr>
          <w:rFonts w:ascii="Calibri" w:cs="Calibri" w:eastAsia="Calibri" w:hAnsi="Calibri"/>
          <w:b/>
          <w:bCs/>
          <w:color w:val="000091"/>
          <w:sz w:val="22"/>
          <w:szCs w:val="22"/>
        </w:rPr>
        <w:t xml:space="preserve">Étape 2 — Traçabilité et périmètre (objectif : sous 4 heures)</w:t>
      </w:r>
    </w:p>
    <w:p>
      <w:pPr>
        <w:pStyle w:val="ListParagraph"/>
        <w:numPr>
          <w:ilvl w:val="0"/>
          <w:numId w:val="3"/>
        </w:numPr>
        <w:spacing w:after="60"/>
      </w:pPr>
      <w:r>
        <w:rPr>
          <w:rFonts w:ascii="Calibri" w:cs="Calibri" w:eastAsia="Calibri" w:hAnsi="Calibri"/>
          <w:color w:val="1E1E1E"/>
          <w:sz w:val="20"/>
          <w:szCs w:val="20"/>
        </w:rPr>
        <w:t xml:space="preserve">Identification de tous les lots concernés (produits finis, lots de matières, lots frères fabriqués dans les mêmes conditions).</w:t>
      </w:r>
    </w:p>
    <w:p>
      <w:pPr>
        <w:pStyle w:val="ListParagraph"/>
        <w:numPr>
          <w:ilvl w:val="0"/>
          <w:numId w:val="3"/>
        </w:numPr>
        <w:spacing w:after="60"/>
      </w:pPr>
      <w:r>
        <w:rPr>
          <w:rFonts w:ascii="Calibri" w:cs="Calibri" w:eastAsia="Calibri" w:hAnsi="Calibri"/>
          <w:color w:val="1E1E1E"/>
          <w:sz w:val="20"/>
          <w:szCs w:val="20"/>
        </w:rPr>
        <w:t xml:space="preserve">Traçabilité descendante : liste des clients livrés, quantités, dates, à partir du registre des expéditions.</w:t>
      </w:r>
    </w:p>
    <w:p>
      <w:pPr>
        <w:pStyle w:val="ListParagraph"/>
        <w:numPr>
          <w:ilvl w:val="0"/>
          <w:numId w:val="3"/>
        </w:numPr>
        <w:spacing w:after="60"/>
      </w:pPr>
      <w:r>
        <w:rPr>
          <w:rFonts w:ascii="Calibri" w:cs="Calibri" w:eastAsia="Calibri" w:hAnsi="Calibri"/>
          <w:color w:val="1E1E1E"/>
          <w:sz w:val="20"/>
          <w:szCs w:val="20"/>
        </w:rPr>
        <w:t xml:space="preserve">Bilan matière : quantités produites, en stock, expédiées, restant chez les clients, vendues au consommateur.</w:t>
      </w:r>
    </w:p>
    <w:p>
      <w:pPr>
        <w:pStyle w:val="Heading3"/>
        <w:spacing w:after="80" w:before="200"/>
      </w:pPr>
      <w:r>
        <w:rPr>
          <w:rFonts w:ascii="Calibri" w:cs="Calibri" w:eastAsia="Calibri" w:hAnsi="Calibri"/>
          <w:b/>
          <w:bCs/>
          <w:color w:val="000091"/>
          <w:sz w:val="22"/>
          <w:szCs w:val="22"/>
        </w:rPr>
        <w:t xml:space="preserve">Étape 3 — Blocage et retrait</w:t>
      </w:r>
    </w:p>
    <w:p>
      <w:pPr>
        <w:pStyle w:val="ListParagraph"/>
        <w:numPr>
          <w:ilvl w:val="0"/>
          <w:numId w:val="3"/>
        </w:numPr>
        <w:spacing w:after="60"/>
      </w:pPr>
      <w:r>
        <w:rPr>
          <w:rFonts w:ascii="Calibri" w:cs="Calibri" w:eastAsia="Calibri" w:hAnsi="Calibri"/>
          <w:color w:val="1E1E1E"/>
          <w:sz w:val="20"/>
          <w:szCs w:val="20"/>
        </w:rPr>
        <w:t xml:space="preserve">Blocage physique des produits en stock (zone identifiée, étiquetage « produit bloqué », enregistrement des quantités).</w:t>
      </w:r>
    </w:p>
    <w:p>
      <w:pPr>
        <w:pStyle w:val="ListParagraph"/>
        <w:numPr>
          <w:ilvl w:val="0"/>
          <w:numId w:val="3"/>
        </w:numPr>
        <w:spacing w:after="60"/>
      </w:pPr>
      <w:r>
        <w:rPr>
          <w:rFonts w:ascii="Calibri" w:cs="Calibri" w:eastAsia="Calibri" w:hAnsi="Calibri"/>
          <w:color w:val="1E1E1E"/>
          <w:sz w:val="20"/>
          <w:szCs w:val="20"/>
        </w:rPr>
        <w:t xml:space="preserve">Information écrite de chaque client professionnel (modèle en annexe A) : produits, lots, motif, action demandée (blocage, retour, destruction), contact.</w:t>
      </w:r>
    </w:p>
    <w:p>
      <w:pPr>
        <w:pStyle w:val="ListParagraph"/>
        <w:numPr>
          <w:ilvl w:val="0"/>
          <w:numId w:val="3"/>
        </w:numPr>
        <w:spacing w:after="60"/>
      </w:pPr>
      <w:r>
        <w:rPr>
          <w:rFonts w:ascii="Calibri" w:cs="Calibri" w:eastAsia="Calibri" w:hAnsi="Calibri"/>
          <w:color w:val="1E1E1E"/>
          <w:sz w:val="20"/>
          <w:szCs w:val="20"/>
        </w:rPr>
        <w:t xml:space="preserve">Confirmation de réception demandée à chaque client ; relance téléphonique sous 2 heures en l'absence de réponse.</w:t>
      </w:r>
    </w:p>
    <w:p>
      <w:pPr>
        <w:pStyle w:val="Heading3"/>
        <w:spacing w:after="80" w:before="200"/>
      </w:pPr>
      <w:r>
        <w:rPr>
          <w:rFonts w:ascii="Calibri" w:cs="Calibri" w:eastAsia="Calibri" w:hAnsi="Calibri"/>
          <w:b/>
          <w:bCs/>
          <w:color w:val="000091"/>
          <w:sz w:val="22"/>
          <w:szCs w:val="22"/>
        </w:rPr>
        <w:t xml:space="preserve">Étape 4 — Information des autorités et déclaration</w:t>
      </w:r>
    </w:p>
    <w:p>
      <w:pPr>
        <w:pStyle w:val="ListParagraph"/>
        <w:numPr>
          <w:ilvl w:val="0"/>
          <w:numId w:val="3"/>
        </w:numPr>
        <w:spacing w:after="60"/>
      </w:pPr>
      <w:r>
        <w:rPr>
          <w:rFonts w:ascii="Calibri" w:cs="Calibri" w:eastAsia="Calibri" w:hAnsi="Calibri"/>
          <w:color w:val="1E1E1E"/>
          <w:sz w:val="20"/>
          <w:szCs w:val="20"/>
        </w:rPr>
        <w:t xml:space="preserve">Information de la DDPP / DDETSPP du département par courriel (modèle en annexe B), avec copie au responsable de la cellule ; appel téléphonique pour confirmer la réception.</w:t>
      </w:r>
    </w:p>
    <w:p>
      <w:pPr>
        <w:pStyle w:val="ListParagraph"/>
        <w:numPr>
          <w:ilvl w:val="0"/>
          <w:numId w:val="3"/>
        </w:numPr>
        <w:spacing w:after="60"/>
      </w:pPr>
      <w:r>
        <w:rPr>
          <w:rFonts w:ascii="Calibri" w:cs="Calibri" w:eastAsia="Calibri" w:hAnsi="Calibri"/>
          <w:color w:val="1E1E1E"/>
          <w:sz w:val="20"/>
          <w:szCs w:val="20"/>
        </w:rPr>
        <w:t xml:space="preserve">Si le produit a pu atteindre le consommateur : déclaration du rappel sur la plateforme professionnelle RappelConso, avec les éléments requis (produit, lots, GTIN, photos, motif, danger, conduite à tenir, modalités de compensation, contact).</w:t>
      </w:r>
    </w:p>
    <w:p>
      <w:pPr>
        <w:pStyle w:val="ListParagraph"/>
        <w:numPr>
          <w:ilvl w:val="0"/>
          <w:numId w:val="3"/>
        </w:numPr>
        <w:spacing w:after="60"/>
      </w:pPr>
      <w:r>
        <w:rPr>
          <w:rFonts w:ascii="Calibri" w:cs="Calibri" w:eastAsia="Calibri" w:hAnsi="Calibri"/>
          <w:color w:val="1E1E1E"/>
          <w:sz w:val="20"/>
          <w:szCs w:val="20"/>
        </w:rPr>
        <w:t xml:space="preserve">Information de l'assureur dans les conditions du contrat.</w:t>
      </w:r>
    </w:p>
    <w:p>
      <w:pPr>
        <w:pStyle w:val="Heading3"/>
        <w:spacing w:after="80" w:before="200"/>
      </w:pPr>
      <w:r>
        <w:rPr>
          <w:rFonts w:ascii="Calibri" w:cs="Calibri" w:eastAsia="Calibri" w:hAnsi="Calibri"/>
          <w:b/>
          <w:bCs/>
          <w:color w:val="000091"/>
          <w:sz w:val="22"/>
          <w:szCs w:val="22"/>
        </w:rPr>
        <w:t xml:space="preserve">Étape 5 — Information des consommateurs</w:t>
      </w:r>
    </w:p>
    <w:p>
      <w:pPr>
        <w:pStyle w:val="ListParagraph"/>
        <w:numPr>
          <w:ilvl w:val="0"/>
          <w:numId w:val="3"/>
        </w:numPr>
        <w:spacing w:after="60"/>
      </w:pPr>
      <w:r>
        <w:rPr>
          <w:rFonts w:ascii="Calibri" w:cs="Calibri" w:eastAsia="Calibri" w:hAnsi="Calibri"/>
          <w:color w:val="1E1E1E"/>
          <w:sz w:val="20"/>
          <w:szCs w:val="20"/>
        </w:rPr>
        <w:t xml:space="preserve">Affichette de rappel (générée par RappelConso) transmise aux points de vente pour affichage.</w:t>
      </w:r>
    </w:p>
    <w:p>
      <w:pPr>
        <w:pStyle w:val="ListParagraph"/>
        <w:numPr>
          <w:ilvl w:val="0"/>
          <w:numId w:val="3"/>
        </w:numPr>
        <w:spacing w:after="60"/>
      </w:pPr>
      <w:r>
        <w:rPr>
          <w:rFonts w:ascii="Calibri" w:cs="Calibri" w:eastAsia="Calibri" w:hAnsi="Calibri"/>
          <w:color w:val="1E1E1E"/>
          <w:sz w:val="20"/>
          <w:szCs w:val="20"/>
        </w:rPr>
        <w:t xml:space="preserve">Réponse aux consommateurs : conduites à tenir reprises de la fiche officielle, modalités de remboursement, numéro de contact.</w:t>
      </w:r>
    </w:p>
    <w:p>
      <w:pPr>
        <w:pStyle w:val="ListParagraph"/>
        <w:numPr>
          <w:ilvl w:val="0"/>
          <w:numId w:val="3"/>
        </w:numPr>
        <w:spacing w:after="60"/>
      </w:pPr>
      <w:r>
        <w:rPr>
          <w:rFonts w:ascii="Calibri" w:cs="Calibri" w:eastAsia="Calibri" w:hAnsi="Calibri"/>
          <w:color w:val="1E1E1E"/>
          <w:sz w:val="20"/>
          <w:szCs w:val="20"/>
        </w:rPr>
        <w:t xml:space="preserve">Communiqué et éléments de langage validés par le responsable de la cellule ; un seul porte-parole.</w:t>
      </w:r>
    </w:p>
    <w:p>
      <w:pPr>
        <w:pStyle w:val="Heading3"/>
        <w:spacing w:after="80" w:before="200"/>
      </w:pPr>
      <w:r>
        <w:rPr>
          <w:rFonts w:ascii="Calibri" w:cs="Calibri" w:eastAsia="Calibri" w:hAnsi="Calibri"/>
          <w:b/>
          <w:bCs/>
          <w:color w:val="000091"/>
          <w:sz w:val="22"/>
          <w:szCs w:val="22"/>
        </w:rPr>
        <w:t xml:space="preserve">Étape 6 — Gestion des retours et clôture</w:t>
      </w:r>
    </w:p>
    <w:p>
      <w:pPr>
        <w:pStyle w:val="ListParagraph"/>
        <w:numPr>
          <w:ilvl w:val="0"/>
          <w:numId w:val="3"/>
        </w:numPr>
        <w:spacing w:after="60"/>
      </w:pPr>
      <w:r>
        <w:rPr>
          <w:rFonts w:ascii="Calibri" w:cs="Calibri" w:eastAsia="Calibri" w:hAnsi="Calibri"/>
          <w:color w:val="1E1E1E"/>
          <w:sz w:val="20"/>
          <w:szCs w:val="20"/>
        </w:rPr>
        <w:t xml:space="preserve">Réception, comptage et isolement des produits retournés ; destruction ou retraitement validé, avec preuves.</w:t>
      </w:r>
    </w:p>
    <w:p>
      <w:pPr>
        <w:pStyle w:val="ListParagraph"/>
        <w:numPr>
          <w:ilvl w:val="0"/>
          <w:numId w:val="3"/>
        </w:numPr>
        <w:spacing w:after="60"/>
      </w:pPr>
      <w:r>
        <w:rPr>
          <w:rFonts w:ascii="Calibri" w:cs="Calibri" w:eastAsia="Calibri" w:hAnsi="Calibri"/>
          <w:color w:val="1E1E1E"/>
          <w:sz w:val="20"/>
          <w:szCs w:val="20"/>
        </w:rPr>
        <w:t xml:space="preserve">Bilan : quantités récupérées par rapport aux quantités mises sur le marché ; explication des écarts.</w:t>
      </w:r>
    </w:p>
    <w:p>
      <w:pPr>
        <w:pStyle w:val="ListParagraph"/>
        <w:numPr>
          <w:ilvl w:val="0"/>
          <w:numId w:val="3"/>
        </w:numPr>
        <w:spacing w:after="60"/>
      </w:pPr>
      <w:r>
        <w:rPr>
          <w:rFonts w:ascii="Calibri" w:cs="Calibri" w:eastAsia="Calibri" w:hAnsi="Calibri"/>
          <w:color w:val="1E1E1E"/>
          <w:sz w:val="20"/>
          <w:szCs w:val="20"/>
        </w:rPr>
        <w:t xml:space="preserve">Courrier de clôture à l'administration ; clôture de la fiche RappelConso.</w:t>
      </w:r>
    </w:p>
    <w:p>
      <w:pPr>
        <w:pStyle w:val="ListParagraph"/>
        <w:numPr>
          <w:ilvl w:val="0"/>
          <w:numId w:val="3"/>
        </w:numPr>
        <w:spacing w:after="60"/>
      </w:pPr>
      <w:r>
        <w:rPr>
          <w:rFonts w:ascii="Calibri" w:cs="Calibri" w:eastAsia="Calibri" w:hAnsi="Calibri"/>
          <w:color w:val="1E1E1E"/>
          <w:sz w:val="20"/>
          <w:szCs w:val="20"/>
        </w:rPr>
        <w:t xml:space="preserve">Analyse des causes, actions correctives, mise à jour du PMS ; retour d'expérience présenté en revue de direction.</w:t>
      </w:r>
    </w:p>
    <w:p>
      <w:pPr>
        <w:pStyle w:val="Heading2"/>
        <w:pBdr>
          <w:bottom w:val="single" w:color="1E1E1E" w:sz="6" w:space="4"/>
        </w:pBdr>
        <w:spacing w:after="120" w:before="320"/>
      </w:pPr>
      <w:r>
        <w:rPr>
          <w:rFonts w:ascii="Georgia" w:cs="Georgia" w:eastAsia="Georgia" w:hAnsi="Georgia"/>
          <w:b/>
          <w:bCs/>
          <w:color w:val="1E1E1E"/>
          <w:sz w:val="28"/>
          <w:szCs w:val="28"/>
        </w:rPr>
        <w:t xml:space="preserve">7. Enregistrements à conserver</w:t>
      </w:r>
    </w:p>
    <w:p>
      <w:pPr>
        <w:pStyle w:val="ListParagraph"/>
        <w:numPr>
          <w:ilvl w:val="0"/>
          <w:numId w:val="2"/>
        </w:numPr>
        <w:spacing w:after="60"/>
      </w:pPr>
      <w:r>
        <w:rPr>
          <w:rFonts w:ascii="Calibri" w:cs="Calibri" w:eastAsia="Calibri" w:hAnsi="Calibri"/>
          <w:color w:val="1E1E1E"/>
          <w:sz w:val="20"/>
          <w:szCs w:val="20"/>
        </w:rPr>
        <w:t xml:space="preserve">Fiche de non-conformité et compte rendu des décisions de la cellule (horodatés)</w:t>
      </w:r>
    </w:p>
    <w:p>
      <w:pPr>
        <w:pStyle w:val="ListParagraph"/>
        <w:numPr>
          <w:ilvl w:val="0"/>
          <w:numId w:val="2"/>
        </w:numPr>
        <w:spacing w:after="60"/>
      </w:pPr>
      <w:r>
        <w:rPr>
          <w:rFonts w:ascii="Calibri" w:cs="Calibri" w:eastAsia="Calibri" w:hAnsi="Calibri"/>
          <w:color w:val="1E1E1E"/>
          <w:sz w:val="20"/>
          <w:szCs w:val="20"/>
        </w:rPr>
        <w:t xml:space="preserve">Données de traçabilité et bilan matière</w:t>
      </w:r>
    </w:p>
    <w:p>
      <w:pPr>
        <w:pStyle w:val="ListParagraph"/>
        <w:numPr>
          <w:ilvl w:val="0"/>
          <w:numId w:val="2"/>
        </w:numPr>
        <w:spacing w:after="60"/>
      </w:pPr>
      <w:r>
        <w:rPr>
          <w:rFonts w:ascii="Calibri" w:cs="Calibri" w:eastAsia="Calibri" w:hAnsi="Calibri"/>
          <w:color w:val="1E1E1E"/>
          <w:sz w:val="20"/>
          <w:szCs w:val="20"/>
        </w:rPr>
        <w:t xml:space="preserve">Courriers aux clients, accusés de réception, relances</w:t>
      </w:r>
    </w:p>
    <w:p>
      <w:pPr>
        <w:pStyle w:val="ListParagraph"/>
        <w:numPr>
          <w:ilvl w:val="0"/>
          <w:numId w:val="2"/>
        </w:numPr>
        <w:spacing w:after="60"/>
      </w:pPr>
      <w:r>
        <w:rPr>
          <w:rFonts w:ascii="Calibri" w:cs="Calibri" w:eastAsia="Calibri" w:hAnsi="Calibri"/>
          <w:color w:val="1E1E1E"/>
          <w:sz w:val="20"/>
          <w:szCs w:val="20"/>
        </w:rPr>
        <w:t xml:space="preserve">Notification à la DDPP, déclaration RappelConso, échanges avec l'administration</w:t>
      </w:r>
    </w:p>
    <w:p>
      <w:pPr>
        <w:pStyle w:val="ListParagraph"/>
        <w:numPr>
          <w:ilvl w:val="0"/>
          <w:numId w:val="2"/>
        </w:numPr>
        <w:spacing w:after="60"/>
      </w:pPr>
      <w:r>
        <w:rPr>
          <w:rFonts w:ascii="Calibri" w:cs="Calibri" w:eastAsia="Calibri" w:hAnsi="Calibri"/>
          <w:color w:val="1E1E1E"/>
          <w:sz w:val="20"/>
          <w:szCs w:val="20"/>
        </w:rPr>
        <w:t xml:space="preserve">Preuves de destruction ou de retraitement, bilan des retours</w:t>
      </w:r>
    </w:p>
    <w:p>
      <w:pPr>
        <w:pStyle w:val="ListParagraph"/>
        <w:numPr>
          <w:ilvl w:val="0"/>
          <w:numId w:val="2"/>
        </w:numPr>
        <w:spacing w:after="60"/>
      </w:pPr>
      <w:r>
        <w:rPr>
          <w:rFonts w:ascii="Calibri" w:cs="Calibri" w:eastAsia="Calibri" w:hAnsi="Calibri"/>
          <w:color w:val="1E1E1E"/>
          <w:sz w:val="20"/>
          <w:szCs w:val="20"/>
        </w:rPr>
        <w:t xml:space="preserve">Rapport de clôture et retour d'expérience</w:t>
      </w:r>
    </w:p>
    <w:p>
      <w:pPr>
        <w:pStyle w:val="Heading2"/>
        <w:pBdr>
          <w:bottom w:val="single" w:color="1E1E1E" w:sz="6" w:space="4"/>
        </w:pBdr>
        <w:spacing w:after="120" w:before="320"/>
      </w:pPr>
      <w:r>
        <w:rPr>
          <w:rFonts w:ascii="Georgia" w:cs="Georgia" w:eastAsia="Georgia" w:hAnsi="Georgia"/>
          <w:b/>
          <w:bCs/>
          <w:color w:val="1E1E1E"/>
          <w:sz w:val="28"/>
          <w:szCs w:val="28"/>
        </w:rPr>
        <w:t xml:space="preserve">8. Exercice de simulation</w:t>
      </w:r>
    </w:p>
    <w:p>
      <w:pPr>
        <w:spacing w:after="100" w:before="0"/>
      </w:pPr>
      <w:r>
        <w:t xml:space="preserve">Un exercice complet est réalisé au moins une fois par an, sur un scénario réaliste, en mesurant le temps nécessaire à chaque étape (identification des lots, liste des clients, bilan matière, rédaction des courriers). Le rapport d'exercice consigne les temps, les écarts et les actions d'amélioration. Les contacts (§ 5, annexe C) sont vérifiés à cette occasion.</w:t>
      </w:r>
    </w:p>
    <w:p>
      <w:pPr>
        <w:pStyle w:val="Heading2"/>
        <w:pBdr>
          <w:bottom w:val="single" w:color="1E1E1E" w:sz="6" w:space="4"/>
        </w:pBdr>
        <w:spacing w:after="120" w:before="320"/>
      </w:pPr>
      <w:r>
        <w:rPr>
          <w:rFonts w:ascii="Georgia" w:cs="Georgia" w:eastAsia="Georgia" w:hAnsi="Georgia"/>
          <w:b/>
          <w:bCs/>
          <w:color w:val="1E1E1E"/>
          <w:sz w:val="28"/>
          <w:szCs w:val="28"/>
        </w:rPr>
        <w:t xml:space="preserve">Annexe A — Modèle de courrier aux clients professionnels</w:t>
      </w:r>
    </w:p>
    <w:p>
      <w:pPr>
        <w:pBdr>
          <w:left w:val="single" w:color="000091" w:sz="18" w:space="8"/>
        </w:pBdr>
        <w:shd w:fill="F5F5FE" w:color="auto" w:val="clear"/>
        <w:spacing w:after="160" w:before="120"/>
        <w:ind w:left="200"/>
      </w:pPr>
      <w:r>
        <w:rPr>
          <w:rFonts w:ascii="Calibri" w:cs="Calibri" w:eastAsia="Calibri" w:hAnsi="Calibri"/>
          <w:color w:val="1E1E1E"/>
          <w:sz w:val="19"/>
          <w:szCs w:val="19"/>
        </w:rPr>
        <w:t xml:space="preserve">Objet : Retrait [ou rappel] de produit — [dénomination], lots [n°] — URGENT
[Établissement] vous informe que le produit [dénomination, référence, GTIN], lots [n°], DLC/DDM [dates], livré le(s) [dates] (BL n° [ ]), fait l'objet d'un retrait [rappel] pour le motif suivant : [motif]. Danger : [nature du danger]. Nous vous demandons de bloquer immédiatement les quantités en votre possession, de ne pas les commercialiser, et de [les retourner / les détruire] selon les modalités suivantes : [ ]. [Si rappel : merci d'afficher l'affichette jointe en point de vente.] Merci de nous confirmer par retour la réception de ce message et les quantités concernées. Contact : [nom, téléphone, courriel].</w:t>
      </w:r>
    </w:p>
    <w:p>
      <w:pPr>
        <w:pStyle w:val="Heading2"/>
        <w:pBdr>
          <w:bottom w:val="single" w:color="1E1E1E" w:sz="6" w:space="4"/>
        </w:pBdr>
        <w:spacing w:after="120" w:before="320"/>
      </w:pPr>
      <w:r>
        <w:rPr>
          <w:rFonts w:ascii="Georgia" w:cs="Georgia" w:eastAsia="Georgia" w:hAnsi="Georgia"/>
          <w:b/>
          <w:bCs/>
          <w:color w:val="1E1E1E"/>
          <w:sz w:val="28"/>
          <w:szCs w:val="28"/>
        </w:rPr>
        <w:t xml:space="preserve">Annexe B — Modèle de notification à la DDPP</w:t>
      </w:r>
    </w:p>
    <w:p>
      <w:pPr>
        <w:pBdr>
          <w:left w:val="single" w:color="000091" w:sz="18" w:space="8"/>
        </w:pBdr>
        <w:shd w:fill="F5F5FE" w:color="auto" w:val="clear"/>
        <w:spacing w:after="160" w:before="120"/>
        <w:ind w:left="200"/>
      </w:pPr>
      <w:r>
        <w:rPr>
          <w:rFonts w:ascii="Calibri" w:cs="Calibri" w:eastAsia="Calibri" w:hAnsi="Calibri"/>
          <w:color w:val="1E1E1E"/>
          <w:sz w:val="19"/>
          <w:szCs w:val="19"/>
        </w:rPr>
        <w:t xml:space="preserve">Objet : Information au titre de l'article 19 du règlement (CE) n° 178/2002 — [établissement, n° d'agrément]
[Établissement] informe vos services que le produit [dénomination, lots, dates, quantités] mis sur le marché le(s) [dates] est susceptible de ne pas répondre aux prescriptions de sécurité pour le motif suivant : [motif, résultats d'analyse joints]. Mesures engagées : [blocage, retrait auprès de [n] clients le [date], rappel déclaré sur RappelConso le [date]]. Distribution : [zones, enseignes]. Nous restons à votre disposition pour tout complément. Contact : [nom, fonction, téléphone, courriel].</w:t>
      </w:r>
    </w:p>
    <w:p>
      <w:pPr>
        <w:pStyle w:val="Heading2"/>
        <w:pBdr>
          <w:bottom w:val="single" w:color="1E1E1E" w:sz="6" w:space="4"/>
        </w:pBdr>
        <w:spacing w:after="120" w:before="320"/>
      </w:pPr>
      <w:r>
        <w:rPr>
          <w:rFonts w:ascii="Georgia" w:cs="Georgia" w:eastAsia="Georgia" w:hAnsi="Georgia"/>
          <w:b/>
          <w:bCs/>
          <w:color w:val="1E1E1E"/>
          <w:sz w:val="28"/>
          <w:szCs w:val="28"/>
        </w:rPr>
        <w:t xml:space="preserve">Annexe C — Contacts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3300"/>
        <w:gridCol w:w="1800"/>
        <w:gridCol w:w="1838"/>
      </w:tblGrid>
      <w:tr>
        <w:trPr>
          <w:cantSplit/>
          <w:tblHeader/>
        </w:trPr>
        <w:tc>
          <w:tcPr>
            <w:tcW w:type="dxa" w:w="2700"/>
            <w:tcBorders>
              <w:top w:val="single" w:color="DDDDDD" w:sz="4"/>
              <w:left w:val="single" w:color="DDDDDD" w:sz="4"/>
              <w:bottom w:val="single" w:color="DDDDDD" w:sz="4"/>
              <w:right w:val="single" w:color="DDDDDD" w:sz="4"/>
            </w:tcBorders>
            <w:shd w:fill="F5F5FE" w:color="auto" w:val="clear"/>
            <w:tcMar>
              <w:top w:type="dxa" w:w="40"/>
              <w:left w:type="dxa" w:w="80"/>
              <w:bottom w:type="dxa" w:w="40"/>
              <w:right w:type="dxa" w:w="80"/>
            </w:tcMar>
            <w:vAlign w:val="top"/>
          </w:tcPr>
          <w:p>
            <w:pPr>
              <w:spacing w:after="40" w:before="40"/>
            </w:pPr>
            <w:r>
              <w:rPr>
                <w:rFonts w:ascii="Calibri" w:cs="Calibri" w:eastAsia="Calibri" w:hAnsi="Calibri"/>
                <w:b/>
                <w:bCs/>
                <w:sz w:val="18"/>
                <w:szCs w:val="18"/>
              </w:rPr>
              <w:t xml:space="preserve">Organisme / client</w:t>
            </w:r>
          </w:p>
        </w:tc>
        <w:tc>
          <w:tcPr>
            <w:tcW w:type="dxa" w:w="3300"/>
            <w:tcBorders>
              <w:top w:val="single" w:color="DDDDDD" w:sz="4"/>
              <w:left w:val="single" w:color="DDDDDD" w:sz="4"/>
              <w:bottom w:val="single" w:color="DDDDDD" w:sz="4"/>
              <w:right w:val="single" w:color="DDDDDD" w:sz="4"/>
            </w:tcBorders>
            <w:shd w:fill="F5F5FE" w:color="auto" w:val="clear"/>
            <w:tcMar>
              <w:top w:type="dxa" w:w="40"/>
              <w:left w:type="dxa" w:w="80"/>
              <w:bottom w:type="dxa" w:w="40"/>
              <w:right w:type="dxa" w:w="80"/>
            </w:tcMar>
            <w:vAlign w:val="top"/>
          </w:tcPr>
          <w:p>
            <w:pPr>
              <w:spacing w:after="40" w:before="40"/>
            </w:pPr>
            <w:r>
              <w:rPr>
                <w:rFonts w:ascii="Calibri" w:cs="Calibri" w:eastAsia="Calibri" w:hAnsi="Calibri"/>
                <w:b/>
                <w:bCs/>
                <w:sz w:val="18"/>
                <w:szCs w:val="18"/>
              </w:rPr>
              <w:t xml:space="preserve">Contact</w:t>
            </w:r>
          </w:p>
        </w:tc>
        <w:tc>
          <w:tcPr>
            <w:tcW w:type="dxa" w:w="1800"/>
            <w:tcBorders>
              <w:top w:val="single" w:color="DDDDDD" w:sz="4"/>
              <w:left w:val="single" w:color="DDDDDD" w:sz="4"/>
              <w:bottom w:val="single" w:color="DDDDDD" w:sz="4"/>
              <w:right w:val="single" w:color="DDDDDD" w:sz="4"/>
            </w:tcBorders>
            <w:shd w:fill="F5F5FE" w:color="auto" w:val="clear"/>
            <w:tcMar>
              <w:top w:type="dxa" w:w="40"/>
              <w:left w:type="dxa" w:w="80"/>
              <w:bottom w:type="dxa" w:w="40"/>
              <w:right w:type="dxa" w:w="80"/>
            </w:tcMar>
            <w:vAlign w:val="top"/>
          </w:tcPr>
          <w:p>
            <w:pPr>
              <w:spacing w:after="40" w:before="40"/>
            </w:pPr>
            <w:r>
              <w:rPr>
                <w:rFonts w:ascii="Calibri" w:cs="Calibri" w:eastAsia="Calibri" w:hAnsi="Calibri"/>
                <w:b/>
                <w:bCs/>
                <w:sz w:val="18"/>
                <w:szCs w:val="18"/>
              </w:rPr>
              <w:t xml:space="preserve">Téléphone</w:t>
            </w:r>
          </w:p>
        </w:tc>
        <w:tc>
          <w:tcPr>
            <w:tcW w:type="dxa" w:w="1838"/>
            <w:tcBorders>
              <w:top w:val="single" w:color="DDDDDD" w:sz="4"/>
              <w:left w:val="single" w:color="DDDDDD" w:sz="4"/>
              <w:bottom w:val="single" w:color="DDDDDD" w:sz="4"/>
              <w:right w:val="single" w:color="DDDDDD" w:sz="4"/>
            </w:tcBorders>
            <w:shd w:fill="F5F5FE" w:color="auto" w:val="clear"/>
            <w:tcMar>
              <w:top w:type="dxa" w:w="40"/>
              <w:left w:type="dxa" w:w="80"/>
              <w:bottom w:type="dxa" w:w="40"/>
              <w:right w:type="dxa" w:w="80"/>
            </w:tcMar>
            <w:vAlign w:val="top"/>
          </w:tcPr>
          <w:p>
            <w:pPr>
              <w:spacing w:after="40" w:before="40"/>
            </w:pPr>
            <w:r>
              <w:rPr>
                <w:rFonts w:ascii="Calibri" w:cs="Calibri" w:eastAsia="Calibri" w:hAnsi="Calibri"/>
                <w:b/>
                <w:bCs/>
                <w:sz w:val="18"/>
                <w:szCs w:val="18"/>
              </w:rPr>
              <w:t xml:space="preserve">Courriel</w:t>
            </w:r>
          </w:p>
        </w:tc>
      </w:tr>
      <w:tr>
        <w:trPr>
          <w:cantSplit/>
          <w:tblHeader w:val="false"/>
        </w:trPr>
        <w:tc>
          <w:tcPr>
            <w:tcW w:type="dxa" w:w="27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DDPP / DDETSPP de [département]</w:t>
            </w:r>
          </w:p>
        </w:tc>
        <w:tc>
          <w:tcPr>
            <w:tcW w:type="dxa" w:w="33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18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18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r>
      <w:tr>
        <w:trPr>
          <w:cantSplit/>
          <w:tblHeader w:val="false"/>
        </w:trPr>
        <w:tc>
          <w:tcPr>
            <w:tcW w:type="dxa" w:w="27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Plateforme RappelConso (espace professionnel)</w:t>
            </w:r>
          </w:p>
        </w:tc>
        <w:tc>
          <w:tcPr>
            <w:tcW w:type="dxa" w:w="33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pro.rappel.conso.gouv.fr</w:t>
            </w:r>
          </w:p>
        </w:tc>
        <w:tc>
          <w:tcPr>
            <w:tcW w:type="dxa" w:w="18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18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r>
      <w:tr>
        <w:trPr>
          <w:cantSplit/>
          <w:tblHeader w:val="false"/>
        </w:trPr>
        <w:tc>
          <w:tcPr>
            <w:tcW w:type="dxa" w:w="27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Assureur (garantie retrait-rappel)</w:t>
            </w:r>
          </w:p>
        </w:tc>
        <w:tc>
          <w:tcPr>
            <w:tcW w:type="dxa" w:w="33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18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18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r>
      <w:tr>
        <w:trPr>
          <w:cantSplit/>
          <w:tblHeader w:val="false"/>
        </w:trPr>
        <w:tc>
          <w:tcPr>
            <w:tcW w:type="dxa" w:w="27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Laboratoire d'analyses</w:t>
            </w:r>
          </w:p>
        </w:tc>
        <w:tc>
          <w:tcPr>
            <w:tcW w:type="dxa" w:w="33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18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18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r>
      <w:tr>
        <w:trPr>
          <w:cantSplit/>
          <w:tblHeader w:val="false"/>
        </w:trPr>
        <w:tc>
          <w:tcPr>
            <w:tcW w:type="dxa" w:w="27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Transporteur(s)</w:t>
            </w:r>
          </w:p>
        </w:tc>
        <w:tc>
          <w:tcPr>
            <w:tcW w:type="dxa" w:w="33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18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18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r>
      <w:tr>
        <w:trPr>
          <w:cantSplit/>
          <w:tblHeader w:val="false"/>
        </w:trPr>
        <w:tc>
          <w:tcPr>
            <w:tcW w:type="dxa" w:w="27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Prestataire de destruction</w:t>
            </w:r>
          </w:p>
        </w:tc>
        <w:tc>
          <w:tcPr>
            <w:tcW w:type="dxa" w:w="33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18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18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r>
      <w:tr>
        <w:trPr>
          <w:cantSplit/>
          <w:tblHeader w:val="false"/>
        </w:trPr>
        <w:tc>
          <w:tcPr>
            <w:tcW w:type="dxa" w:w="27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Clients principaux (liste complète : registre des expéditions)</w:t>
            </w:r>
          </w:p>
        </w:tc>
        <w:tc>
          <w:tcPr>
            <w:tcW w:type="dxa" w:w="33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1800"/>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c>
          <w:tcPr>
            <w:tcW w:type="dxa" w:w="1838"/>
            <w:tcBorders>
              <w:top w:val="single" w:color="DDDDDD" w:sz="4"/>
              <w:left w:val="single" w:color="DDDDDD" w:sz="4"/>
              <w:bottom w:val="single" w:color="DDDDDD" w:sz="4"/>
              <w:right w:val="single" w:color="DDDDDD" w:sz="4"/>
            </w:tcBorders>
            <w:tcMar>
              <w:top w:type="dxa" w:w="40"/>
              <w:left w:type="dxa" w:w="80"/>
              <w:bottom w:type="dxa" w:w="40"/>
              <w:right w:type="dxa" w:w="80"/>
            </w:tcMar>
            <w:vAlign w:val="top"/>
          </w:tcPr>
          <w:p>
            <w:pPr>
              <w:spacing w:after="40" w:before="40"/>
            </w:pPr>
            <w:r>
              <w:rPr>
                <w:rFonts w:ascii="Calibri" w:cs="Calibri" w:eastAsia="Calibri" w:hAnsi="Calibri"/>
                <w:sz w:val="19"/>
                <w:szCs w:val="19"/>
              </w:rPr>
              <w:t xml:space="preserve"/>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Calibri" w:cs="Calibri" w:eastAsia="Calibri" w:hAnsi="Calibri"/>
        <w:color w:val="666666"/>
        <w:sz w:val="15"/>
        <w:szCs w:val="15"/>
      </w:rPr>
      <w:t xml:space="preserve">Modèle à adapter à votre établissement — agroconformite.fr — réutilisation libre pour un usage interne</w:t>
    </w:r>
    <w:r>
      <w:rPr>
        <w:rFonts w:ascii="Calibri" w:cs="Calibri" w:eastAsia="Calibri" w:hAnsi="Calibri"/>
        <w:color w:val="666666"/>
        <w:sz w:val="15"/>
        <w:szCs w:val="15"/>
      </w:rPr>
      <w:t xml:space="preserve">	Page </w:t>
    </w:r>
    <w:r>
      <w:rPr>
        <w:rFonts w:ascii="Calibri" w:cs="Calibri" w:eastAsia="Calibri" w:hAnsi="Calibri"/>
        <w:color w:val="6666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91" w:sz="6" w:space="4"/>
      </w:pBdr>
      <w:tabs>
        <w:tab w:val="right" w:pos="9638"/>
      </w:tabs>
    </w:pPr>
    <w:r>
      <w:rPr>
        <w:rFonts w:ascii="Georgia" w:cs="Georgia" w:eastAsia="Georgia" w:hAnsi="Georgia"/>
        <w:b/>
        <w:bCs/>
        <w:color w:val="000091"/>
        <w:sz w:val="22"/>
        <w:szCs w:val="22"/>
      </w:rPr>
      <w:t xml:space="preserve">agro</w:t>
    </w:r>
    <w:r>
      <w:rPr>
        <w:rFonts w:ascii="Georgia" w:cs="Georgia" w:eastAsia="Georgia" w:hAnsi="Georgia"/>
        <w:i/>
        <w:iCs/>
        <w:color w:val="E1000F"/>
        <w:sz w:val="22"/>
        <w:szCs w:val="22"/>
      </w:rPr>
      <w:t xml:space="preserve">conformité</w:t>
    </w:r>
    <w:r>
      <w:rPr>
        <w:rFonts w:ascii="Calibri" w:cs="Calibri" w:eastAsia="Calibri" w:hAnsi="Calibri"/>
        <w:color w:val="666666"/>
        <w:sz w:val="17"/>
        <w:szCs w:val="17"/>
      </w:rPr>
      <w:t xml:space="preserve">	Procédure de retrait-rappel</w:t>
    </w:r>
  </w:p>
</w:hdr>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1E1E"/>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 de retrait-rappel</dc:title>
  <dc:creator>agroconformite.fr</dc:creator>
  <cp:lastModifiedBy>Un-named</cp:lastModifiedBy>
  <cp:revision>1</cp:revision>
  <dcterms:created xsi:type="dcterms:W3CDTF">2026-09-15T23:20:54.047Z</dcterms:created>
  <dcterms:modified xsi:type="dcterms:W3CDTF">2026-09-15T23:20:54.047Z</dcterms:modified>
</cp:coreProperties>
</file>

<file path=docProps/custom.xml><?xml version="1.0" encoding="utf-8"?>
<Properties xmlns="http://schemas.openxmlformats.org/officeDocument/2006/custom-properties" xmlns:vt="http://schemas.openxmlformats.org/officeDocument/2006/docPropsVTypes"/>
</file>