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b/>
          <w:bCs/>
          <w:color w:val="000091"/>
          <w:sz w:val="17"/>
          <w:szCs w:val="17"/>
        </w:rPr>
        <w:t xml:space="preserve">MODÈLE — PRÉPARATION À LA CERTIFICATION</w:t>
      </w:r>
    </w:p>
    <w:p>
      <w:pPr>
        <w:pStyle w:val="Heading1"/>
        <w:spacing w:after="160" w:before="0"/>
      </w:pPr>
      <w:r>
        <w:rPr>
          <w:rFonts w:ascii="Georgia" w:cs="Georgia" w:eastAsia="Georgia" w:hAnsi="Georgia"/>
          <w:b/>
          <w:bCs/>
          <w:color w:val="000091"/>
          <w:sz w:val="40"/>
          <w:szCs w:val="40"/>
        </w:rPr>
        <w:t xml:space="preserve">Liste de contrôle avant audit IFS Food / BRCGS</w:t>
      </w:r>
    </w:p>
    <w:p>
      <w:pPr>
        <w:spacing w:after="200" w:before="0"/>
      </w:pPr>
      <w:r>
        <w:rPr>
          <w:i/>
          <w:iCs/>
          <w:color w:val="666666"/>
        </w:rPr>
        <w:t xml:space="preserve">Liste de contrôle à parcourir six à dix semaines avant un audit de certification ou un audit client, puis à nouveau la semaine précédente. Chaque « Non » doit conduire à une action datée. Les points recoupent les exigences d'IFS Food version 8 et de BRCGS Food Safety issue 9 sans se substituer aux référentiels.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Site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Référentiel et version visés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Date de l'audit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Auto-évaluation réalisée par / le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800"/>
        <w:gridCol w:w="900"/>
        <w:gridCol w:w="900"/>
        <w:gridCol w:w="900"/>
        <w:gridCol w:w="1138"/>
      </w:tblGrid>
      <w:tr>
        <w:trPr>
          <w:tblHeader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Point de contrôle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Oui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Non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N/A</w:t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Preuve / commentaire</w:t>
            </w:r>
          </w:p>
        </w:tc>
      </w:tr>
      <w:tr>
        <w:trPr>
          <w:cantSplit/>
        </w:trPr>
        <w:tc>
          <w:tcPr>
            <w:tcW w:type="dxa" w:w="9638"/>
            <w:gridSpan w:val="5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EEF7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00091"/>
                <w:sz w:val="19"/>
                <w:szCs w:val="19"/>
              </w:rPr>
              <w:t xml:space="preserve">A. Direction, politique, culture de la sécurité des aliments</w:t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Politique de sécurité des aliments et de qualité signée par la direction, communiquée, affichée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Objectifs mesurables définis, suivis, revus (indicateurs, cibles, résultats)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Plan de culture de la sécurité des aliments : évaluation, actions, communication, formation, mesure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Organigramme à jour, responsabilités et suppléances définies, y compris pour la sécurité des aliments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Revue de direction réalisée dans les 12 mois, compte rendu avec décisions et actions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Ressources : effectifs, compétences, budget maintenance et analyses cohérents avec les objectifs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Veille réglementaire et normative documentée, avec impacts évalués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Réclamations clients enregistrées, analysées, tendances revues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638"/>
            <w:gridSpan w:val="5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EEF7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00091"/>
                <w:sz w:val="19"/>
                <w:szCs w:val="19"/>
              </w:rPr>
              <w:t xml:space="preserve">B. Plan HACCP</w:t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Équipe HACCP pluridisciplinaire, compétences documentées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Description des produits et de l'usage prévu, y compris populations sensibles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Diagrammes de fabrication complets, vérifiés sur place (date, signature)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Analyse des dangers par étape : biologiques, chimiques, physiques, allergènes, fraude ; gravité et probabilité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CCP et PRPo identifiés avec justification (arbre de décision ou méthode équivalente)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Limites critiques validées (référence scientifique, réglementaire ou étude)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Surveillance des CCP : fréquence, méthode, responsable, enregistrements réels et complets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Actions correctives définies pour chaque CCP, enregistrées lorsqu'elles ont été déclenchées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Vérification du plan HACCP : audits, analyses, revue annuelle et après tout changement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638"/>
            <w:gridSpan w:val="5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EEF7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00091"/>
                <w:sz w:val="19"/>
                <w:szCs w:val="19"/>
              </w:rPr>
              <w:t xml:space="preserve">C. Bonnes pratiques d'hygiène et environnement</w:t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Plan des locaux avec zonage, flux personnel / matières / déchets, marche en avant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État des locaux : sols, murs, plafonds, portes, fenêtres, évacuations, sans zone de rétention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Séparation cru / cuit, zones à haut risque ou haute précaution identifiées et contrôlées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Plan de nettoyage-désinfection par zone et équipement ; fiches techniques et FDS des produits ; validation (allergènes, microbiologie)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Contrôles de nettoyage enregistrés (visuel, ATP, lames de surface) et écarts traités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Plan de lutte contre les nuisibles : contrat, plan des dispositifs, rapports, tendances, actions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Qualité de l'eau : analyses à la fréquence définie, plan du réseau, contrôle des ajouts (chlore…)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Gestion des déchets : contenants identifiés, zone dédiée, évacuation, sous-produits animaux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Maintenance préventive planifiée et enregistrée ; lubrifiants alimentaires ; état des équipements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Étalonnage / vérification des instruments critiques (sondes, balances, détecteurs) avec enregistrements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Hygiène du personnel : tenues, vestiaires, lave-mains, règles visiteurs et prestataires, suivi médical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Formation : plan, attestations, formation au poste, évaluation, personnel intérimaire inclus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638"/>
            <w:gridSpan w:val="5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EEF7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00091"/>
                <w:sz w:val="19"/>
                <w:szCs w:val="19"/>
              </w:rPr>
              <w:t xml:space="preserve">D. Maîtrise des dangers spécifiques</w:t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Gestion des allergènes : tableau recettes/allergènes, séparation, ordonnancement, nettoyage validé, étiquetage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Corps étrangers : politique verre et plastique dur, registre bris de verre, détecteurs de métaux / rayons X testés à la fréquence définie, tamis, aimants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Évaluation de vulnérabilité à la fraude (food fraud) : matières premières, fournisseurs, plan d'atténuation, revue annuelle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Plan de food defence : évaluation des menaces, accès, zones sensibles, prestataires, revue annuelle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Surveillance environnementale (Listeria, indicateurs) : plan, résultats, actions sur positifs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638"/>
            <w:gridSpan w:val="5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EEF7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00091"/>
                <w:sz w:val="19"/>
                <w:szCs w:val="19"/>
              </w:rPr>
              <w:t xml:space="preserve">E. Fournisseurs, achats, sous-traitance</w:t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Procédure d'approbation et de surveillance des fournisseurs (matières, emballages, services)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Spécifications à jour pour chaque matière première et emballage ; déclarations de conformité MCDA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Contrôles à réception définis et enregistrés (température, intégrité, documents, agrément)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Sous-traitants et prestataires (nettoyage, transport, stockage) évalués et contractualisés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638"/>
            <w:gridSpan w:val="5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EEF7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00091"/>
                <w:sz w:val="19"/>
                <w:szCs w:val="19"/>
              </w:rPr>
              <w:t xml:space="preserve">F. Traçabilité, non-conformités, rappel</w:t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Traçabilité ascendante et descendante testée dans les 12 mois, bilan matière, temps mesuré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Identification des lots sur tous les produits, y compris en cours de fabrication et retraitement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Gestion des produits non conformes : zone de blocage identifiée, fiches, décisions, registre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Procédure de retrait-rappel avec contacts à jour, testée dans les 12 mois, rapport d'exercice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Gestion des réclamations et des alertes (RASFF, fournisseurs) avec analyse et actions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638"/>
            <w:gridSpan w:val="5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EEF7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00091"/>
                <w:sz w:val="19"/>
                <w:szCs w:val="19"/>
              </w:rPr>
              <w:t xml:space="preserve">G. Produit et étiquetage</w:t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Spécifications produits finis : composition, critères microbiologiques, durée de vie, allergènes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Études de durée de vie (DLC/DDM) documentées, incluant Listeria pour les produits sensibles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Étiquettes vérifiées et approuvées avant impression ; contrôle de l'étiquette à la ligne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Plan d'analyses (produits, environnement, eau) cohérent avec les dangers ; laboratoire accrédité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Gestion des changements (nouveau produit, équipement, process) avec revue HACCP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638"/>
            <w:gridSpan w:val="5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EEF7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00091"/>
                <w:sz w:val="19"/>
                <w:szCs w:val="19"/>
              </w:rPr>
              <w:t xml:space="preserve">H. Système documentaire et audits</w:t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Maîtrise des documents : versions, approbation, diffusion, retrait des obsolètes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Enregistrements lisibles, datés, signés, conservés selon la durée définie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Programme d'audits internes couvrant l'ensemble du référentiel, rapports et actions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Écarts de l'audit précédent (certification ou client) tous clôturés avec preuves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pBdr>
          <w:bottom w:val="single" w:color="1E1E1E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E1E1E"/>
          <w:sz w:val="28"/>
          <w:szCs w:val="28"/>
        </w:rPr>
        <w:t xml:space="preserve">Points KO / fondamentaux à vérifier une dernière fois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E1E1E"/>
          <w:sz w:val="20"/>
          <w:szCs w:val="20"/>
        </w:rPr>
        <w:t xml:space="preserve">Responsabilité de la direction et revue de direction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E1E1E"/>
          <w:sz w:val="20"/>
          <w:szCs w:val="20"/>
        </w:rPr>
        <w:t xml:space="preserve">Surveillance des CCP et actions correctives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E1E1E"/>
          <w:sz w:val="20"/>
          <w:szCs w:val="20"/>
        </w:rPr>
        <w:t xml:space="preserve">Hygiène du personnel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E1E1E"/>
          <w:sz w:val="20"/>
          <w:szCs w:val="20"/>
        </w:rPr>
        <w:t xml:space="preserve">Traçabilité et test de traçabilité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E1E1E"/>
          <w:sz w:val="20"/>
          <w:szCs w:val="20"/>
        </w:rPr>
        <w:t xml:space="preserve">Gestion des allergènes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E1E1E"/>
          <w:sz w:val="20"/>
          <w:szCs w:val="20"/>
        </w:rPr>
        <w:t xml:space="preserve">Procédure de retrait-rappel et son test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E1E1E"/>
          <w:sz w:val="20"/>
          <w:szCs w:val="20"/>
        </w:rPr>
        <w:t xml:space="preserve">Maîtrise des corps étrangers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E1E1E"/>
          <w:sz w:val="20"/>
          <w:szCs w:val="20"/>
        </w:rPr>
        <w:t xml:space="preserve">Plan de nettoyage et validation</w:t>
      </w:r>
    </w:p>
    <w:p>
      <w:pPr>
        <w:pBdr>
          <w:left w:val="single" w:color="000091" w:sz="18" w:space="8"/>
        </w:pBdr>
        <w:shd w:fill="F5F5FE" w:color="auto" w:val="clear"/>
        <w:spacing w:after="160" w:before="120"/>
        <w:ind w:left="200"/>
      </w:pPr>
      <w:r>
        <w:rPr>
          <w:rFonts w:ascii="Calibri" w:cs="Calibri" w:eastAsia="Calibri" w:hAnsi="Calibri"/>
          <w:color w:val="1E1E1E"/>
          <w:sz w:val="19"/>
          <w:szCs w:val="19"/>
        </w:rPr>
        <w:t xml:space="preserve">Un audit à blanc réalisé par un auditeur extérieur, dans les conditions réelles du référentiel, reste le moyen le plus sûr de mesurer l'écart : la liste de contrôle prépare, elle ne remplace pas.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Calibri" w:cs="Calibri" w:eastAsia="Calibri" w:hAnsi="Calibri"/>
        <w:color w:val="666666"/>
        <w:sz w:val="15"/>
        <w:szCs w:val="15"/>
      </w:rPr>
      <w:t xml:space="preserve">Modèle à adapter à votre établissement — agroconformite.fr — réutilisation libre pour un usage interne</w:t>
    </w:r>
    <w:r>
      <w:rPr>
        <w:rFonts w:ascii="Calibri" w:cs="Calibri" w:eastAsia="Calibri" w:hAnsi="Calibri"/>
        <w:color w:val="666666"/>
        <w:sz w:val="15"/>
        <w:szCs w:val="15"/>
      </w:rPr>
      <w:t xml:space="preserve">	Page </w:t>
    </w:r>
    <w:r>
      <w:rPr>
        <w:rFonts w:ascii="Calibri" w:cs="Calibri" w:eastAsia="Calibri" w:hAnsi="Calibri"/>
        <w:color w:val="6666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0091" w:sz="6" w:space="4"/>
      </w:pBdr>
      <w:tabs>
        <w:tab w:val="right" w:pos="9638"/>
      </w:tabs>
    </w:pPr>
    <w:r>
      <w:rPr>
        <w:rFonts w:ascii="Georgia" w:cs="Georgia" w:eastAsia="Georgia" w:hAnsi="Georgia"/>
        <w:b/>
        <w:bCs/>
        <w:color w:val="000091"/>
        <w:sz w:val="22"/>
        <w:szCs w:val="22"/>
      </w:rPr>
      <w:t xml:space="preserve">agro</w:t>
    </w:r>
    <w:r>
      <w:rPr>
        <w:rFonts w:ascii="Georgia" w:cs="Georgia" w:eastAsia="Georgia" w:hAnsi="Georgia"/>
        <w:i/>
        <w:iCs/>
        <w:color w:val="E1000F"/>
        <w:sz w:val="22"/>
        <w:szCs w:val="22"/>
      </w:rPr>
      <w:t xml:space="preserve">conformité</w:t>
    </w:r>
    <w:r>
      <w:rPr>
        <w:rFonts w:ascii="Calibri" w:cs="Calibri" w:eastAsia="Calibri" w:hAnsi="Calibri"/>
        <w:color w:val="666666"/>
        <w:sz w:val="17"/>
        <w:szCs w:val="17"/>
      </w:rPr>
      <w:t xml:space="preserve">	Liste de contrôle avant audit IFS Food / BRCGS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400" w:hanging="240"/>
      </w:pPr>
    </w:lvl>
    <w:lvl w:ilvl="1" w15:tentative="1">
      <w:start w:val="1"/>
      <w:numFmt w:val="bullet"/>
      <w:lvlText w:val="·"/>
      <w:lvlJc w:val="left"/>
      <w:pPr>
        <w:ind w:left="80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1E1E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Liste de contrôle avant audit IFS Food / BRCGS</dc:title>
  <dc:creator>agroconformite.fr</dc:creator>
  <cp:lastModifiedBy>Un-named</cp:lastModifiedBy>
  <cp:revision>1</cp:revision>
  <dcterms:created xsi:type="dcterms:W3CDTF">2026-09-15T23:20:53.848Z</dcterms:created>
  <dcterms:modified xsi:type="dcterms:W3CDTF">2026-09-15T23:20:53.848Z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